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TÍTULO EM PORTUGUÊS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TÍTULO EM INGLÊS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vertAlign w:val="superscript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Autores: Xxxxxx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rtl w:val="0"/>
        </w:rPr>
        <w:t xml:space="preserve">, Xmmmm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rtl w:val="0"/>
        </w:rPr>
        <w:t xml:space="preserve">, Xkkkkk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instituição e e-mail do autor principal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instituição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instituição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Introdução/Proposta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Relato de Caso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(Figura1).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Discussão e Conclusão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Xxxxxxxxxxxxxxxxxxxxxxxxxxxxxxxxxxxxxxxxxxxxxxxxxxxxxxxxxxxxxxxxxxxxxxxxxxxxxxxxxxxxxxxxxxxxxxxxxxxxxxxxxxxxxxxxxxxxxxxxxxxxxxxxxxxxxxxxxxxxxxxxxxxxxxxxxxxxxxxxxxxxxxxxxxxxxxxxxxxxxxxxxxxxxxxxxxxxxxxxxxxxxxxxxxxxxxxxxxxxxxxxxxxxxxxxxxxxx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rtl w:val="0"/>
        </w:rPr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rtl w:val="0"/>
        </w:rPr>
        <w:t xml:space="preserve">xxxxxxxxxxxxxxxxxxxxxxxxxxxxxxxxxxxxxxxxxxxxxxxxxxxxxxxxxxxxxxxxxxxxxxxxxxxxxxxxxxxxxxxxxxxxxxxxxxxxxxxxxxxxxxxxxxxxxxxxxxxxxxxxxxxxxxxxxxxxxxxxxxxxxxxxxxxxxxxxxxxxxxxx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rtl w:val="0"/>
        </w:rPr>
        <w:t xml:space="preserve">xxxxxxxxxxxxxxxxxxxxxxxxxxxxxxxxxxxxxxxxxxxxxxxxxxxxxxxxxxxxxxxxxxxxxxxxxxxxxxxxxxxxxxxxxxxxxxxxxxxxxxxxxxxxxxxxxxxxxxxxxxxxxxxxxxxxxxxxxxxxxxxxxxxxxxxxxxxxxxxxxxxxxxxxxxxxxxxxxxxxxxxxxxxxxxxxxxxxx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rtl w:val="0"/>
        </w:rPr>
        <w:t xml:space="preserve">xxxxxxxxxxxxxxxxxxxxxxxxxxxxxxxxxxxxxxxxxxxxxxxxx.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Referências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ABRV | Associação Brasileira de Radiologia Veterinária</w:t>
      </w:r>
      <w:r w:rsidDel="00000000" w:rsidR="00000000" w:rsidRPr="00000000">
        <w:rPr>
          <w:rFonts w:ascii="Arial" w:cs="Arial" w:eastAsia="Arial" w:hAnsi="Arial"/>
          <w:rtl w:val="0"/>
        </w:rPr>
        <w:t xml:space="preserve">. Disponível em: &lt;http://abrv.com.br&gt;. Acesso em: 28 abr. 2025.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‌2.THRALL, D. 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Diagnóstico de Radiologia Veterinária</w:t>
      </w:r>
      <w:r w:rsidDel="00000000" w:rsidR="00000000" w:rsidRPr="00000000">
        <w:rPr>
          <w:rFonts w:ascii="Arial" w:cs="Arial" w:eastAsia="Arial" w:hAnsi="Arial"/>
          <w:rtl w:val="0"/>
        </w:rPr>
        <w:t xml:space="preserve">. [s.l: s.n.].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 SPAULDING, Kathy A 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et al</w:t>
      </w:r>
      <w:r w:rsidDel="00000000" w:rsidR="00000000" w:rsidRPr="00000000">
        <w:rPr>
          <w:rFonts w:ascii="Arial" w:cs="Arial" w:eastAsia="Arial" w:hAnsi="Arial"/>
          <w:rtl w:val="0"/>
        </w:rPr>
        <w:t xml:space="preserve">. Seção II O Esqueleto Apendicular: Canino, Felino e Equino: Anatomia Radiográfica do Esqueleto Apendicular. 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rtl w:val="0"/>
        </w:rPr>
        <w:t xml:space="preserve">: THRALL, Donald E 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et al</w:t>
      </w:r>
      <w:r w:rsidDel="00000000" w:rsidR="00000000" w:rsidRPr="00000000">
        <w:rPr>
          <w:rFonts w:ascii="Arial" w:cs="Arial" w:eastAsia="Arial" w:hAnsi="Arial"/>
          <w:rtl w:val="0"/>
        </w:rPr>
        <w:t xml:space="preserve">. 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Diagnóstico de Radiologia Veterinária</w:t>
      </w:r>
      <w:r w:rsidDel="00000000" w:rsidR="00000000" w:rsidRPr="00000000">
        <w:rPr>
          <w:rFonts w:ascii="Arial" w:cs="Arial" w:eastAsia="Arial" w:hAnsi="Arial"/>
          <w:rtl w:val="0"/>
        </w:rPr>
        <w:t xml:space="preserve">. 7. ed. [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S. l.</w:t>
      </w:r>
      <w:r w:rsidDel="00000000" w:rsidR="00000000" w:rsidRPr="00000000">
        <w:rPr>
          <w:rFonts w:ascii="Arial" w:cs="Arial" w:eastAsia="Arial" w:hAnsi="Arial"/>
          <w:rtl w:val="0"/>
        </w:rPr>
        <w:t xml:space="preserve">]: Gen, 2022. cap. 16, p. 306-333.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4.WANG, Y. et al. Imaging Diagnosis—Sonographic Features of Bilateral Renal Lymphangiectasia in an Azotemic Dog. 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Veterinary Radiology &amp; Ultrasound</w:t>
      </w:r>
      <w:r w:rsidDel="00000000" w:rsidR="00000000" w:rsidRPr="00000000">
        <w:rPr>
          <w:rFonts w:ascii="Arial" w:cs="Arial" w:eastAsia="Arial" w:hAnsi="Arial"/>
          <w:rtl w:val="0"/>
        </w:rPr>
        <w:t xml:space="preserve">, v. 66, n. 3, 2 abr. 2025.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‌</w:t>
      </w:r>
    </w:p>
    <w:sectPr>
      <w:pgSz w:h="16838" w:w="11906" w:orient="portrait"/>
      <w:pgMar w:bottom="1417" w:top="1417" w:left="993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747AF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747AF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747AF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747AF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747AF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747AF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747AF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747AFD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747AFD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747AFD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747AFD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747AFD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747AF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747AF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747AF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747AFD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747AFD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747AFD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747AF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747AFD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747AFD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dHSQhRaD7ui0XjyTH0iJB2lo7g==">CgMxLjA4AHIhMXVST2c1bkszSXMxM2VXN3JnRnRfVmNHSURFWjBYNmIz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2025-04-28T14:31:00Z</dcterms:created>
  <dc:creator>Hélio Bagetti Filho</dc:creator>
</cp:coreProperties>
</file>